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B5FF" w14:textId="77777777" w:rsidR="004E1666" w:rsidRDefault="004E1666" w:rsidP="004E1666">
      <w:pPr>
        <w:spacing w:after="0" w:line="480" w:lineRule="auto"/>
        <w:jc w:val="center"/>
        <w:rPr>
          <w:rFonts w:ascii="Times New Roman" w:eastAsia="Times New Roman" w:hAnsi="Times New Roman" w:cs="Times New Roman"/>
          <w:color w:val="333399"/>
          <w:sz w:val="20"/>
          <w:szCs w:val="20"/>
          <w:lang w:val="en-GB"/>
        </w:rPr>
      </w:pPr>
      <w:r>
        <w:rPr>
          <w:rFonts w:ascii="Times New Roman" w:eastAsia="Times New Roman" w:hAnsi="Times New Roman" w:cs="Times New Roman"/>
          <w:color w:val="333399"/>
          <w:sz w:val="32"/>
          <w:szCs w:val="24"/>
          <w:lang w:val="en-GB"/>
        </w:rPr>
        <w:t xml:space="preserve">AIMS &amp; SCOPE </w:t>
      </w:r>
    </w:p>
    <w:p w14:paraId="7F12EE2B" w14:textId="77777777" w:rsidR="004E1666" w:rsidRDefault="004E1666" w:rsidP="004E1666">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Editor’s Note</w:t>
      </w:r>
    </w:p>
    <w:p w14:paraId="1447F577" w14:textId="77777777" w:rsidR="004E1666" w:rsidRDefault="004E1666" w:rsidP="004E1666">
      <w:pPr>
        <w:spacing w:after="0" w:line="480" w:lineRule="auto"/>
        <w:ind w:firstLine="720"/>
        <w:rPr>
          <w:rFonts w:ascii="Times New Roman" w:eastAsia="Times New Roman" w:hAnsi="Times New Roman" w:cs="Times New Roman"/>
          <w:sz w:val="24"/>
          <w:szCs w:val="24"/>
          <w:shd w:val="clear" w:color="auto" w:fill="FFFFFF"/>
          <w:lang w:val="en-GB"/>
        </w:rPr>
      </w:pPr>
      <w:r>
        <w:rPr>
          <w:rFonts w:ascii="Times New Roman" w:eastAsia="Times New Roman" w:hAnsi="Times New Roman" w:cs="Times New Roman"/>
          <w:sz w:val="24"/>
          <w:szCs w:val="24"/>
          <w:shd w:val="clear" w:color="auto" w:fill="FFFFFF"/>
          <w:lang w:val="en-GB"/>
        </w:rPr>
        <w:t xml:space="preserve">The </w:t>
      </w:r>
      <w:r>
        <w:rPr>
          <w:rFonts w:ascii="Times New Roman" w:eastAsia="Times New Roman" w:hAnsi="Times New Roman" w:cs="Times New Roman"/>
          <w:i/>
          <w:sz w:val="24"/>
          <w:szCs w:val="24"/>
          <w:shd w:val="clear" w:color="auto" w:fill="FFFFFF"/>
          <w:lang w:val="en-GB"/>
        </w:rPr>
        <w:t>Global Community Yearbook of International Law and Jurisprudence</w:t>
      </w:r>
      <w:r>
        <w:rPr>
          <w:rFonts w:ascii="Times New Roman" w:eastAsia="Times New Roman" w:hAnsi="Times New Roman" w:cs="Times New Roman"/>
          <w:sz w:val="24"/>
          <w:szCs w:val="24"/>
          <w:shd w:val="clear" w:color="auto" w:fill="FFFFFF"/>
          <w:lang w:val="en-GB"/>
        </w:rPr>
        <w:t xml:space="preserve"> (</w:t>
      </w:r>
      <w:r>
        <w:rPr>
          <w:rFonts w:ascii="Times New Roman" w:eastAsia="Times New Roman" w:hAnsi="Times New Roman" w:cs="Times New Roman"/>
          <w:i/>
          <w:sz w:val="24"/>
          <w:szCs w:val="24"/>
          <w:shd w:val="clear" w:color="auto" w:fill="FFFFFF"/>
          <w:lang w:val="en-GB"/>
        </w:rPr>
        <w:t xml:space="preserve">Yearbook </w:t>
      </w:r>
      <w:r>
        <w:rPr>
          <w:rFonts w:ascii="Times New Roman" w:eastAsia="Times New Roman" w:hAnsi="Times New Roman" w:cs="Times New Roman"/>
          <w:iCs/>
          <w:sz w:val="24"/>
          <w:szCs w:val="24"/>
          <w:shd w:val="clear" w:color="auto" w:fill="FFFFFF"/>
          <w:lang w:val="en-GB"/>
        </w:rPr>
        <w:t>or GCYILJ</w:t>
      </w:r>
      <w:r>
        <w:rPr>
          <w:rFonts w:ascii="Times New Roman" w:eastAsia="Times New Roman" w:hAnsi="Times New Roman" w:cs="Times New Roman"/>
          <w:sz w:val="24"/>
          <w:szCs w:val="24"/>
          <w:shd w:val="clear" w:color="auto" w:fill="FFFFFF"/>
          <w:lang w:val="en-GB"/>
        </w:rPr>
        <w:t xml:space="preserve">) is a peer-reviewed journal, covered in Scopus, and first published in 2001 </w:t>
      </w:r>
      <w:r>
        <w:rPr>
          <w:rFonts w:ascii="Times New Roman" w:eastAsia="Times New Roman" w:hAnsi="Times New Roman" w:cs="Times New Roman"/>
          <w:sz w:val="24"/>
          <w:szCs w:val="24"/>
          <w:lang w:val="en-US"/>
        </w:rPr>
        <w:t>(with twenty-two editions, that is, annual publications so far).</w:t>
      </w:r>
      <w:r>
        <w:rPr>
          <w:rFonts w:ascii="Times New Roman" w:eastAsia="Times New Roman" w:hAnsi="Times New Roman" w:cs="Times New Roman"/>
          <w:sz w:val="24"/>
          <w:szCs w:val="24"/>
          <w:shd w:val="clear" w:color="auto" w:fill="FFFFFF"/>
          <w:lang w:val="en-GB"/>
        </w:rPr>
        <w:t xml:space="preserve"> Over the years it has become an authoritative reference on the most significant transformations in the </w:t>
      </w:r>
      <w:r>
        <w:rPr>
          <w:rFonts w:ascii="Times New Roman" w:eastAsia="Times New Roman" w:hAnsi="Times New Roman" w:cs="Times New Roman"/>
          <w:snapToGrid w:val="0"/>
          <w:sz w:val="24"/>
          <w:szCs w:val="24"/>
          <w:lang w:val="en-GB"/>
        </w:rPr>
        <w:t xml:space="preserve">world constitutive process. While providing researchers and practitioners with access to a uniquely rich resource for the study of international jurisprudence, the </w:t>
      </w:r>
      <w:r>
        <w:rPr>
          <w:rFonts w:ascii="Times New Roman" w:eastAsia="Times New Roman" w:hAnsi="Times New Roman" w:cs="Times New Roman"/>
          <w:i/>
          <w:snapToGrid w:val="0"/>
          <w:sz w:val="24"/>
          <w:szCs w:val="24"/>
          <w:lang w:val="en-GB"/>
        </w:rPr>
        <w:t>Yearbook</w:t>
      </w:r>
      <w:r>
        <w:rPr>
          <w:rFonts w:ascii="Times New Roman" w:eastAsia="Times New Roman" w:hAnsi="Times New Roman" w:cs="Times New Roman"/>
          <w:snapToGrid w:val="0"/>
          <w:sz w:val="24"/>
          <w:szCs w:val="24"/>
          <w:lang w:val="en-GB"/>
        </w:rPr>
        <w:t xml:space="preserve"> promotes discussion on current issues that impact substantive and procedural aspects of global law. In this way, the </w:t>
      </w:r>
      <w:r>
        <w:rPr>
          <w:rFonts w:ascii="Times New Roman" w:eastAsia="Times New Roman" w:hAnsi="Times New Roman" w:cs="Times New Roman"/>
          <w:i/>
          <w:sz w:val="24"/>
          <w:szCs w:val="24"/>
          <w:shd w:val="clear" w:color="auto" w:fill="FFFFFF"/>
          <w:lang w:val="en-GB"/>
        </w:rPr>
        <w:t>Yearbook</w:t>
      </w:r>
      <w:r>
        <w:rPr>
          <w:rFonts w:ascii="Times New Roman" w:eastAsia="Times New Roman" w:hAnsi="Times New Roman" w:cs="Times New Roman"/>
          <w:snapToGrid w:val="0"/>
          <w:sz w:val="24"/>
          <w:szCs w:val="24"/>
          <w:lang w:val="en-GB"/>
        </w:rPr>
        <w:t xml:space="preserve"> makes it possible to monitor—from year to year and from several perspectives—the development of the international order towards a legal system for a global community.</w:t>
      </w:r>
    </w:p>
    <w:p w14:paraId="27A083DD"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napToGrid w:val="0"/>
          <w:sz w:val="24"/>
          <w:szCs w:val="24"/>
          <w:lang w:val="en-GB"/>
        </w:rPr>
        <w:t xml:space="preserve">The </w:t>
      </w:r>
      <w:r>
        <w:rPr>
          <w:rFonts w:ascii="Times New Roman" w:eastAsia="Times New Roman" w:hAnsi="Times New Roman" w:cs="Times New Roman"/>
          <w:i/>
          <w:sz w:val="24"/>
          <w:szCs w:val="24"/>
          <w:shd w:val="clear" w:color="auto" w:fill="FFFFFF"/>
          <w:lang w:val="en-GB"/>
        </w:rPr>
        <w:t>Yearbook</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z w:val="24"/>
          <w:szCs w:val="24"/>
          <w:lang w:val="en-US"/>
        </w:rPr>
        <w:t xml:space="preserve">provides scientific and practice-oriented articles on recent developments in global law, as well as new insights on the contribution of judicial pronouncements </w:t>
      </w:r>
      <w:r>
        <w:rPr>
          <w:rFonts w:ascii="Times New Roman" w:hAnsi="Times New Roman" w:cs="Times New Roman"/>
          <w:sz w:val="24"/>
          <w:szCs w:val="24"/>
          <w:shd w:val="clear" w:color="auto" w:fill="FFFFFF"/>
          <w:lang w:val="en-US"/>
        </w:rPr>
        <w:t xml:space="preserve">to the </w:t>
      </w:r>
      <w:r>
        <w:rPr>
          <w:rFonts w:ascii="Times New Roman" w:hAnsi="Times New Roman" w:cs="Times New Roman"/>
          <w:bCs/>
          <w:sz w:val="24"/>
          <w:szCs w:val="24"/>
          <w:shd w:val="clear" w:color="auto" w:fill="FFFFFF"/>
          <w:lang w:val="en-US"/>
        </w:rPr>
        <w:t>constitutional global order</w:t>
      </w:r>
      <w:r>
        <w:rPr>
          <w:rFonts w:ascii="Times New Roman" w:eastAsia="Times New Roman" w:hAnsi="Times New Roman" w:cs="Times New Roman"/>
          <w:sz w:val="24"/>
          <w:szCs w:val="24"/>
          <w:lang w:val="en-US"/>
        </w:rPr>
        <w:t>.</w:t>
      </w:r>
    </w:p>
    <w:p w14:paraId="53EF8083"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theoretical sections of the </w:t>
      </w:r>
      <w:r>
        <w:rPr>
          <w:rFonts w:ascii="Times New Roman" w:eastAsia="Times New Roman" w:hAnsi="Times New Roman" w:cs="Times New Roman"/>
          <w:i/>
          <w:sz w:val="24"/>
          <w:szCs w:val="24"/>
          <w:lang w:val="en-US"/>
        </w:rPr>
        <w:t>Yearbook</w:t>
      </w:r>
      <w:r>
        <w:rPr>
          <w:rFonts w:ascii="Times New Roman" w:eastAsia="Times New Roman" w:hAnsi="Times New Roman" w:cs="Times New Roman"/>
          <w:sz w:val="24"/>
          <w:szCs w:val="24"/>
          <w:lang w:val="en-US"/>
        </w:rPr>
        <w:t xml:space="preserve"> contain analyses by</w:t>
      </w:r>
      <w:r>
        <w:rPr>
          <w:rFonts w:ascii="Times New Roman" w:hAnsi="Times New Roman" w:cs="Times New Roman"/>
          <w:sz w:val="24"/>
          <w:szCs w:val="24"/>
          <w:lang w:val="en-GB"/>
        </w:rPr>
        <w:t xml:space="preserve"> prominent</w:t>
      </w:r>
      <w:r>
        <w:rPr>
          <w:rFonts w:ascii="Times New Roman" w:eastAsia="Times New Roman" w:hAnsi="Times New Roman" w:cs="Times New Roman"/>
          <w:sz w:val="24"/>
          <w:szCs w:val="24"/>
          <w:lang w:val="en-US"/>
        </w:rPr>
        <w:t xml:space="preserve"> scholars and judges from all over the world focusing on the global challenges for law, policy, and justice.</w:t>
      </w:r>
      <w:r>
        <w:rPr>
          <w:rFonts w:ascii="Times New Roman" w:hAnsi="Times New Roman" w:cs="Times New Roman"/>
          <w:sz w:val="24"/>
          <w:szCs w:val="24"/>
          <w:lang w:val="en-GB"/>
        </w:rPr>
        <w:t xml:space="preserve"> The approach to global ethics is developed in a dynamic manner, thereby reflecting the increasing concern for and indeed need to address ethical problems and issues</w:t>
      </w:r>
      <w:r>
        <w:rPr>
          <w:lang w:val="en-GB"/>
        </w:rPr>
        <w:t xml:space="preserve"> </w:t>
      </w:r>
      <w:r>
        <w:rPr>
          <w:rFonts w:ascii="Times New Roman" w:hAnsi="Times New Roman" w:cs="Times New Roman"/>
          <w:sz w:val="24"/>
          <w:szCs w:val="24"/>
          <w:lang w:val="en-GB"/>
        </w:rPr>
        <w:t>in a global context</w:t>
      </w:r>
      <w:r>
        <w:rPr>
          <w:lang w:val="en-GB"/>
        </w:rPr>
        <w:t>.</w:t>
      </w:r>
    </w:p>
    <w:p w14:paraId="26220984" w14:textId="77777777" w:rsidR="004E1666" w:rsidRDefault="004E1666" w:rsidP="004E1666">
      <w:pPr>
        <w:spacing w:after="0" w:line="480" w:lineRule="auto"/>
        <w:ind w:firstLine="708"/>
        <w:rPr>
          <w:rFonts w:ascii="Times New Roman" w:eastAsia="Times New Roman" w:hAnsi="Times New Roman" w:cs="Times New Roman"/>
          <w:sz w:val="24"/>
          <w:szCs w:val="24"/>
          <w:lang w:val="en-GB"/>
        </w:rPr>
      </w:pPr>
      <w:r>
        <w:rPr>
          <w:rFonts w:ascii="Times New Roman" w:hAnsi="Times New Roman" w:cs="Times New Roman"/>
          <w:sz w:val="24"/>
          <w:szCs w:val="24"/>
          <w:shd w:val="clear" w:color="auto" w:fill="FFFFFF"/>
          <w:lang w:val="en-GB"/>
        </w:rPr>
        <w:t>Furthermore,</w:t>
      </w:r>
      <w:r>
        <w:rPr>
          <w:rFonts w:ascii="Arial" w:hAnsi="Arial" w:cs="Arial"/>
          <w:color w:val="4D5156"/>
          <w:sz w:val="21"/>
          <w:szCs w:val="21"/>
          <w:shd w:val="clear" w:color="auto" w:fill="FFFFFF"/>
          <w:lang w:val="en-GB"/>
        </w:rPr>
        <w:t xml:space="preserve"> </w:t>
      </w:r>
      <w:r>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i/>
          <w:sz w:val="24"/>
          <w:szCs w:val="24"/>
          <w:shd w:val="clear" w:color="auto" w:fill="FFFFFF"/>
          <w:lang w:val="en-GB"/>
        </w:rPr>
        <w:t>Yearbook</w:t>
      </w:r>
      <w:r>
        <w:rPr>
          <w:rFonts w:ascii="Times New Roman" w:eastAsia="Times New Roman" w:hAnsi="Times New Roman" w:cs="Times New Roman"/>
          <w:sz w:val="24"/>
          <w:szCs w:val="24"/>
          <w:lang w:val="en-US"/>
        </w:rPr>
        <w:t xml:space="preserve"> constitutes the only thorough annual survey of major developments in international jurisprudence. The decisions of international courts and tribunals are covered extensively, to reflect their recognized importance for the development of international/global law. A comprehensive survey by eminent international law scholars who explore, document, and evaluate this process provides an innovative</w:t>
      </w:r>
      <w:r>
        <w:rPr>
          <w:lang w:val="en-GB"/>
        </w:rPr>
        <w:t xml:space="preserve"> </w:t>
      </w:r>
      <w:r>
        <w:rPr>
          <w:rFonts w:ascii="Times New Roman" w:hAnsi="Times New Roman" w:cs="Times New Roman"/>
          <w:sz w:val="24"/>
          <w:szCs w:val="24"/>
          <w:lang w:val="en-GB"/>
        </w:rPr>
        <w:t>and, so our hope is, intriguing approach</w:t>
      </w:r>
      <w:r>
        <w:rPr>
          <w:rFonts w:ascii="Times New Roman" w:eastAsia="Times New Roman" w:hAnsi="Times New Roman" w:cs="Times New Roman"/>
          <w:sz w:val="24"/>
          <w:szCs w:val="24"/>
          <w:lang w:val="en-US"/>
        </w:rPr>
        <w:t xml:space="preserve"> to the interactions between courts/tribunals/other judicial bodies</w:t>
      </w:r>
      <w:r>
        <w:rPr>
          <w:rFonts w:ascii="Times New Roman" w:eastAsia="Times New Roman" w:hAnsi="Times New Roman" w:cs="Times New Roman"/>
          <w:sz w:val="24"/>
          <w:szCs w:val="24"/>
          <w:highlight w:val="yellow"/>
          <w:lang w:val="en-US"/>
        </w:rPr>
        <w:t>,</w:t>
      </w:r>
      <w:r>
        <w:rPr>
          <w:rFonts w:ascii="Times New Roman" w:eastAsia="Times New Roman" w:hAnsi="Times New Roman" w:cs="Times New Roman"/>
          <w:sz w:val="24"/>
          <w:szCs w:val="24"/>
          <w:lang w:val="en-US"/>
        </w:rPr>
        <w:t xml:space="preserve"> with the objective of reducing conflicts and paving the path towards harmonization of legal principles governing the global community. The </w:t>
      </w:r>
      <w:r w:rsidRPr="00A774DE">
        <w:rPr>
          <w:rFonts w:ascii="Times New Roman" w:eastAsia="Times New Roman" w:hAnsi="Times New Roman" w:cs="Times New Roman"/>
          <w:sz w:val="24"/>
          <w:szCs w:val="24"/>
          <w:lang w:val="en-US"/>
        </w:rPr>
        <w:t>section “</w:t>
      </w:r>
      <w:r w:rsidRPr="001B3724">
        <w:rPr>
          <w:rFonts w:ascii="Times New Roman" w:eastAsia="Times New Roman" w:hAnsi="Times New Roman" w:cs="Times New Roman"/>
          <w:sz w:val="24"/>
          <w:szCs w:val="24"/>
          <w:lang w:val="en-US"/>
        </w:rPr>
        <w:t>Global Justice</w:t>
      </w:r>
      <w:r>
        <w:rPr>
          <w:rFonts w:ascii="Times New Roman" w:eastAsia="Times New Roman" w:hAnsi="Times New Roman" w:cs="Times New Roman"/>
          <w:sz w:val="24"/>
          <w:szCs w:val="24"/>
          <w:lang w:val="en-US"/>
        </w:rPr>
        <w:t xml:space="preserve">”, which is divided into sub-sections and which is </w:t>
      </w:r>
      <w:r>
        <w:rPr>
          <w:rFonts w:ascii="Times New Roman" w:eastAsia="Times New Roman" w:hAnsi="Times New Roman" w:cs="Times New Roman"/>
          <w:sz w:val="24"/>
          <w:szCs w:val="24"/>
          <w:lang w:val="en-US"/>
        </w:rPr>
        <w:lastRenderedPageBreak/>
        <w:t>primarily devoted to the highest judicial bodies, reports annually on significant international case law.</w:t>
      </w:r>
      <w:r>
        <w:rPr>
          <w:rStyle w:val="Heading2Char"/>
          <w:rFonts w:ascii="Arial" w:eastAsiaTheme="minorEastAsia" w:hAnsi="Arial" w:cs="Arial"/>
          <w:b w:val="0"/>
          <w:bCs w:val="0"/>
          <w:i w:val="0"/>
          <w:iCs/>
          <w:sz w:val="21"/>
          <w:szCs w:val="21"/>
          <w:shd w:val="clear" w:color="auto" w:fill="FFFFFF"/>
          <w:lang w:val="en-GB"/>
        </w:rPr>
        <w:t xml:space="preserve"> </w:t>
      </w:r>
      <w:r>
        <w:rPr>
          <w:rFonts w:ascii="Times New Roman" w:hAnsi="Times New Roman" w:cs="Times New Roman"/>
          <w:sz w:val="24"/>
          <w:szCs w:val="24"/>
          <w:shd w:val="clear" w:color="auto" w:fill="FFFFFF"/>
          <w:lang w:val="en-GB"/>
        </w:rPr>
        <w:t>It further </w:t>
      </w:r>
      <w:r>
        <w:rPr>
          <w:rStyle w:val="Emphasis"/>
          <w:rFonts w:ascii="Times New Roman" w:hAnsi="Times New Roman" w:cs="Times New Roman"/>
          <w:sz w:val="24"/>
          <w:szCs w:val="24"/>
          <w:shd w:val="clear" w:color="auto" w:fill="FFFFFF"/>
          <w:lang w:val="en-GB"/>
        </w:rPr>
        <w:t>discusses about the contribution of judicial pronouncements</w:t>
      </w:r>
      <w:r>
        <w:rPr>
          <w:rFonts w:ascii="Times New Roman" w:hAnsi="Times New Roman" w:cs="Times New Roman"/>
          <w:sz w:val="24"/>
          <w:szCs w:val="24"/>
          <w:shd w:val="clear" w:color="auto" w:fill="FFFFFF"/>
          <w:lang w:val="en-GB"/>
        </w:rPr>
        <w:t> to the constitutional global order</w:t>
      </w:r>
      <w:r>
        <w:rPr>
          <w:rFonts w:ascii="Times New Roman" w:eastAsia="Times New Roman" w:hAnsi="Times New Roman" w:cs="Times New Roman"/>
          <w:sz w:val="24"/>
          <w:szCs w:val="24"/>
          <w:lang w:val="en-GB"/>
        </w:rPr>
        <w:t>.</w:t>
      </w:r>
    </w:p>
    <w:p w14:paraId="02D3E453" w14:textId="77777777" w:rsidR="004E1666" w:rsidRDefault="004E1666" w:rsidP="004E1666">
      <w:pPr>
        <w:spacing w:after="0" w:line="480" w:lineRule="auto"/>
        <w:ind w:firstLine="720"/>
        <w:rPr>
          <w:rFonts w:ascii="Times New Roman" w:eastAsia="Times New Roman" w:hAnsi="Times New Roman" w:cs="Times New Roman"/>
          <w:strike/>
          <w:sz w:val="24"/>
          <w:szCs w:val="24"/>
          <w:lang w:val="en-US"/>
        </w:rPr>
      </w:pPr>
      <w:r>
        <w:rPr>
          <w:rFonts w:ascii="Times New Roman" w:eastAsiaTheme="minorHAnsi" w:hAnsi="Times New Roman" w:cs="Times New Roman"/>
          <w:sz w:val="24"/>
          <w:szCs w:val="24"/>
          <w:lang w:val="en-GB"/>
        </w:rPr>
        <w:t xml:space="preserve">The 2023 edition of the </w:t>
      </w:r>
      <w:r>
        <w:rPr>
          <w:rFonts w:ascii="Times New Roman" w:eastAsiaTheme="minorHAnsi" w:hAnsi="Times New Roman" w:cs="Times New Roman"/>
          <w:i/>
          <w:iCs/>
          <w:sz w:val="24"/>
          <w:szCs w:val="24"/>
          <w:lang w:val="en-GB"/>
        </w:rPr>
        <w:t>Global Community Yearbook of International Law and Jurisprudence</w:t>
      </w:r>
      <w:r>
        <w:rPr>
          <w:rFonts w:ascii="Times New Roman" w:eastAsiaTheme="minorHAnsi" w:hAnsi="Times New Roman" w:cs="Times New Roman"/>
          <w:sz w:val="24"/>
          <w:szCs w:val="24"/>
          <w:lang w:val="en-GB"/>
        </w:rPr>
        <w:t xml:space="preserve"> marks a decisive stage in the development path of the </w:t>
      </w:r>
      <w:r>
        <w:rPr>
          <w:rFonts w:ascii="Times New Roman" w:eastAsiaTheme="minorHAnsi" w:hAnsi="Times New Roman" w:cs="Times New Roman"/>
          <w:i/>
          <w:iCs/>
          <w:sz w:val="24"/>
          <w:szCs w:val="24"/>
          <w:lang w:val="en-GB"/>
        </w:rPr>
        <w:t>Yearbook</w:t>
      </w:r>
      <w:r>
        <w:rPr>
          <w:rFonts w:ascii="Times New Roman" w:eastAsiaTheme="minorHAnsi" w:hAnsi="Times New Roman" w:cs="Times New Roman"/>
          <w:sz w:val="24"/>
          <w:szCs w:val="24"/>
          <w:lang w:val="en-GB"/>
        </w:rPr>
        <w:t>. This introduces significant changes by virtue of improving its model and refining its scope set out in the constitutive document.</w:t>
      </w:r>
      <w:r>
        <w:rPr>
          <w:rStyle w:val="FootnoteReference"/>
          <w:rFonts w:eastAsiaTheme="minorHAnsi" w:cs="Times New Roman"/>
          <w:sz w:val="24"/>
          <w:szCs w:val="24"/>
          <w:lang w:val="en-GB"/>
        </w:rPr>
        <w:footnoteReference w:id="1"/>
      </w:r>
      <w:r>
        <w:rPr>
          <w:rFonts w:ascii="Times New Roman" w:eastAsiaTheme="minorHAnsi" w:hAnsi="Times New Roman" w:cs="Times New Roman"/>
          <w:sz w:val="24"/>
          <w:szCs w:val="24"/>
          <w:lang w:val="en-GB"/>
        </w:rPr>
        <w:t xml:space="preserve"> </w:t>
      </w:r>
      <w:r>
        <w:rPr>
          <w:rFonts w:ascii="Times New Roman" w:hAnsi="Times New Roman" w:cs="Times New Roman"/>
          <w:color w:val="222222"/>
          <w:sz w:val="24"/>
          <w:szCs w:val="24"/>
          <w:lang w:val="en-GB"/>
        </w:rPr>
        <w:t xml:space="preserve">One of the previous hallmarks – “legal Maxims” – has been replaced, as a logical consequence of the ever-burgeoning international case-law. It nevertheless becomes evident that the core of the spirit in which the </w:t>
      </w:r>
      <w:r>
        <w:rPr>
          <w:rFonts w:ascii="Times New Roman" w:hAnsi="Times New Roman" w:cs="Times New Roman"/>
          <w:i/>
          <w:iCs/>
          <w:color w:val="222222"/>
          <w:sz w:val="24"/>
          <w:szCs w:val="24"/>
          <w:lang w:val="en-GB"/>
        </w:rPr>
        <w:t>Yearbook</w:t>
      </w:r>
      <w:r>
        <w:rPr>
          <w:rFonts w:ascii="Times New Roman" w:hAnsi="Times New Roman" w:cs="Times New Roman"/>
          <w:color w:val="222222"/>
          <w:sz w:val="24"/>
          <w:szCs w:val="24"/>
          <w:lang w:val="en-GB"/>
        </w:rPr>
        <w:t xml:space="preserve"> was founded will be maintained. </w:t>
      </w:r>
      <w:r>
        <w:rPr>
          <w:rFonts w:ascii="Times New Roman" w:hAnsi="Times New Roman" w:cs="Times New Roman"/>
          <w:sz w:val="24"/>
          <w:szCs w:val="24"/>
          <w:lang w:val="en-GB"/>
        </w:rPr>
        <w:t>In fact, the “global communitarian paradigm” and GCYILJ’s “global constitutionalism approach,” as were advanced in the GCYILJ editorials since its first 2001 edition, has been enhanced, inter alia, in a notable expansion of the number of courts covered, the “Surveys “ that replace the “Introductory Note” related to their activity; and the</w:t>
      </w:r>
      <w:r>
        <w:rPr>
          <w:rFonts w:ascii="Times New Roman" w:hAnsi="Times New Roman" w:cs="Times New Roman"/>
          <w:sz w:val="24"/>
          <w:szCs w:val="24"/>
          <w:lang w:val="en"/>
        </w:rPr>
        <w:t xml:space="preserve"> idea of emphasizing putting “Global Law” </w:t>
      </w:r>
      <w:r>
        <w:rPr>
          <w:rFonts w:ascii="Times New Roman" w:hAnsi="Times New Roman" w:cs="Times New Roman"/>
          <w:sz w:val="24"/>
          <w:szCs w:val="24"/>
          <w:lang w:val="en-GB"/>
        </w:rPr>
        <w:t>in the context of “Politics” and “Justice, thereby placing</w:t>
      </w:r>
      <w:r>
        <w:rPr>
          <w:rFonts w:ascii="Times New Roman" w:hAnsi="Times New Roman" w:cs="Times New Roman"/>
          <w:color w:val="222222"/>
          <w:sz w:val="24"/>
          <w:szCs w:val="24"/>
          <w:lang w:val="en-GB"/>
        </w:rPr>
        <w:t xml:space="preserve"> an </w:t>
      </w:r>
      <w:r>
        <w:rPr>
          <w:rFonts w:ascii="Times New Roman" w:hAnsi="Times New Roman" w:cs="Times New Roman"/>
          <w:sz w:val="24"/>
          <w:szCs w:val="24"/>
          <w:lang w:val="en"/>
        </w:rPr>
        <w:t>increased attention on the role of ethics in global politics.</w:t>
      </w:r>
    </w:p>
    <w:p w14:paraId="15EAEFB0"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Starting from this edition (2023) the number of international courts, tribunals and quasi-judicial bodies covered has doubled and, consequently, has come to include:</w:t>
      </w:r>
    </w:p>
    <w:p w14:paraId="70F9FADE"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pacing w:val="-3"/>
          <w:sz w:val="24"/>
          <w:szCs w:val="24"/>
          <w:lang w:val="en-US"/>
        </w:rPr>
        <w:t xml:space="preserve">International </w:t>
      </w:r>
      <w:r>
        <w:rPr>
          <w:rFonts w:ascii="Times New Roman" w:eastAsia="Times New Roman" w:hAnsi="Times New Roman" w:cs="Times New Roman"/>
          <w:sz w:val="24"/>
          <w:szCs w:val="24"/>
          <w:lang w:val="en-US"/>
        </w:rPr>
        <w:t xml:space="preserve">Court of </w:t>
      </w:r>
      <w:r>
        <w:rPr>
          <w:rFonts w:ascii="Times New Roman" w:eastAsia="Times New Roman" w:hAnsi="Times New Roman" w:cs="Times New Roman"/>
          <w:spacing w:val="-3"/>
          <w:sz w:val="24"/>
          <w:szCs w:val="24"/>
          <w:lang w:val="en-US"/>
        </w:rPr>
        <w:t xml:space="preserve">Justice </w:t>
      </w:r>
      <w:r>
        <w:rPr>
          <w:rFonts w:ascii="Times New Roman" w:eastAsia="Times New Roman" w:hAnsi="Times New Roman" w:cs="Times New Roman"/>
          <w:sz w:val="24"/>
          <w:szCs w:val="24"/>
          <w:lang w:val="en-GB"/>
        </w:rPr>
        <w:t>(</w:t>
      </w:r>
      <w:r>
        <w:rPr>
          <w:rFonts w:ascii="Times New Roman" w:hAnsi="Times New Roman" w:cs="Times New Roman"/>
          <w:sz w:val="24"/>
          <w:szCs w:val="24"/>
          <w:lang w:val="en-GB"/>
        </w:rPr>
        <w:t>ICJ</w:t>
      </w:r>
      <w:r>
        <w:rPr>
          <w:rFonts w:ascii="Times New Roman" w:eastAsia="Times New Roman" w:hAnsi="Times New Roman" w:cs="Times New Roman"/>
          <w:sz w:val="24"/>
          <w:szCs w:val="24"/>
          <w:lang w:val="en-GB"/>
        </w:rPr>
        <w:t>)</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International Centre for Settlement of Investment Disputes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napToGrid w:val="0"/>
          <w:sz w:val="24"/>
          <w:szCs w:val="24"/>
          <w:lang w:val="en-US"/>
        </w:rPr>
        <w:t>ICSID</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pacing w:val="-3"/>
          <w:sz w:val="24"/>
          <w:szCs w:val="24"/>
          <w:lang w:val="en-US"/>
        </w:rPr>
        <w:t xml:space="preserve">International </w:t>
      </w:r>
      <w:r>
        <w:rPr>
          <w:rFonts w:ascii="Times New Roman" w:eastAsia="Times New Roman" w:hAnsi="Times New Roman" w:cs="Times New Roman"/>
          <w:sz w:val="24"/>
          <w:szCs w:val="24"/>
          <w:lang w:val="en-US"/>
        </w:rPr>
        <w:t xml:space="preserve">Criminal Court </w:t>
      </w:r>
      <w:r>
        <w:rPr>
          <w:rFonts w:ascii="Times New Roman" w:eastAsia="Times New Roman" w:hAnsi="Times New Roman" w:cs="Times New Roman"/>
          <w:sz w:val="24"/>
          <w:szCs w:val="24"/>
          <w:lang w:val="en-GB"/>
        </w:rPr>
        <w:t>(ICC);</w:t>
      </w:r>
      <w:r>
        <w:rPr>
          <w:rFonts w:ascii="Times New Roman" w:eastAsia="Times New Roman" w:hAnsi="Times New Roman" w:cs="Times New Roman"/>
          <w:spacing w:val="-3"/>
          <w:sz w:val="24"/>
          <w:szCs w:val="24"/>
          <w:lang w:val="en-US"/>
        </w:rPr>
        <w:t xml:space="preserve"> International</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4"/>
          <w:sz w:val="24"/>
          <w:szCs w:val="24"/>
          <w:lang w:val="en-US"/>
        </w:rPr>
        <w:t>Tribunal</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for</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Law</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 xml:space="preserve">Sea </w:t>
      </w:r>
      <w:r>
        <w:rPr>
          <w:rFonts w:ascii="Times New Roman" w:eastAsia="Times New Roman" w:hAnsi="Times New Roman" w:cs="Times New Roman"/>
          <w:sz w:val="24"/>
          <w:szCs w:val="24"/>
          <w:lang w:val="en-GB"/>
        </w:rPr>
        <w:t>(</w:t>
      </w:r>
      <w:r>
        <w:rPr>
          <w:rFonts w:ascii="Times New Roman" w:eastAsia="Times New Roman" w:hAnsi="Times New Roman" w:cs="Times New Roman"/>
          <w:snapToGrid w:val="0"/>
          <w:sz w:val="24"/>
          <w:szCs w:val="24"/>
          <w:lang w:val="en-GB"/>
        </w:rPr>
        <w:t>ITLOS)</w:t>
      </w:r>
      <w:r>
        <w:rPr>
          <w:rFonts w:ascii="Times New Roman" w:eastAsia="Times New Roman" w:hAnsi="Times New Roman" w:cs="Times New Roman"/>
          <w:sz w:val="24"/>
          <w:szCs w:val="24"/>
          <w:lang w:val="en-GB"/>
        </w:rPr>
        <w:t>; Permanent Court of Arbitration (</w:t>
      </w:r>
      <w:r>
        <w:rPr>
          <w:rFonts w:ascii="Times New Roman" w:hAnsi="Times New Roman" w:cs="Times New Roman"/>
          <w:sz w:val="24"/>
          <w:szCs w:val="24"/>
          <w:shd w:val="clear" w:color="auto" w:fill="FFFFFF"/>
          <w:lang w:val="en-GB"/>
        </w:rPr>
        <w:t>PCA</w:t>
      </w:r>
      <w:r>
        <w:rPr>
          <w:rFonts w:ascii="Times New Roman" w:eastAsia="Times New Roman" w:hAnsi="Times New Roman" w:cs="Times New Roman"/>
          <w:sz w:val="24"/>
          <w:szCs w:val="24"/>
          <w:lang w:val="en-GB"/>
        </w:rPr>
        <w:t xml:space="preserve">); </w:t>
      </w:r>
      <w:r>
        <w:rPr>
          <w:rFonts w:ascii="Times New Roman" w:hAnsi="Times New Roman" w:cs="Times New Roman"/>
          <w:sz w:val="24"/>
          <w:szCs w:val="24"/>
          <w:lang w:val="en-GB"/>
        </w:rPr>
        <w:t xml:space="preserve">IOs’ </w:t>
      </w:r>
      <w:r>
        <w:rPr>
          <w:rFonts w:ascii="Times New Roman" w:eastAsia="Times New Roman" w:hAnsi="Times New Roman" w:cs="Times New Roman"/>
          <w:sz w:val="24"/>
          <w:szCs w:val="24"/>
          <w:lang w:val="en-GB"/>
        </w:rPr>
        <w:t>Administrative Tribunals (IATs);</w:t>
      </w:r>
      <w:r>
        <w:rPr>
          <w:rFonts w:ascii="Times New Roman" w:eastAsia="Times New Roman" w:hAnsi="Times New Roman" w:cs="Times New Roman"/>
          <w:sz w:val="24"/>
          <w:szCs w:val="24"/>
          <w:lang w:val="en-US"/>
        </w:rPr>
        <w:t xml:space="preserve"> </w:t>
      </w:r>
      <w:r>
        <w:rPr>
          <w:rFonts w:ascii="Times New Roman" w:hAnsi="Times New Roman"/>
          <w:sz w:val="24"/>
          <w:szCs w:val="24"/>
          <w:lang w:val="en-GB"/>
        </w:rPr>
        <w:t>World Trade Organization Dispute Settlement Body and Appellate Body</w:t>
      </w:r>
      <w:r>
        <w:rPr>
          <w:rFonts w:ascii="Times New Roman" w:eastAsia="Times New Roman" w:hAnsi="Times New Roman" w:cs="Times New Roman"/>
          <w:sz w:val="24"/>
          <w:szCs w:val="24"/>
          <w:lang w:val="en-US"/>
        </w:rPr>
        <w:t xml:space="preserve"> (WTO</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Dispute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3"/>
          <w:sz w:val="24"/>
          <w:szCs w:val="24"/>
          <w:lang w:val="en-US"/>
        </w:rPr>
        <w:t>Settlement</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4"/>
          <w:sz w:val="24"/>
          <w:szCs w:val="24"/>
          <w:lang w:val="en-US"/>
        </w:rPr>
        <w:t>System</w:t>
      </w:r>
      <w:r w:rsidRPr="00D44785">
        <w:rPr>
          <w:rFonts w:ascii="Times New Roman" w:eastAsia="Times New Roman" w:hAnsi="Times New Roman" w:cs="Times New Roman"/>
          <w:spacing w:val="-4"/>
          <w:sz w:val="24"/>
          <w:szCs w:val="24"/>
          <w:lang w:val="en-US"/>
        </w:rPr>
        <w:t xml:space="preserve">); </w:t>
      </w:r>
      <w:r w:rsidRPr="00D44785">
        <w:rPr>
          <w:rStyle w:val="Emphasis"/>
          <w:rFonts w:ascii="Times New Roman" w:hAnsi="Times New Roman" w:cs="Times New Roman"/>
          <w:sz w:val="24"/>
          <w:szCs w:val="24"/>
          <w:shd w:val="clear" w:color="auto" w:fill="FFFFFF"/>
          <w:lang w:val="en-GB"/>
        </w:rPr>
        <w:t>African Court on Human and Peoples</w:t>
      </w:r>
      <w:r w:rsidRPr="00D44785">
        <w:rPr>
          <w:rFonts w:ascii="Times New Roman" w:hAnsi="Times New Roman" w:cs="Times New Roman"/>
          <w:i/>
          <w:iCs/>
          <w:sz w:val="24"/>
          <w:szCs w:val="24"/>
          <w:shd w:val="clear" w:color="auto" w:fill="FFFFFF"/>
          <w:lang w:val="en-GB"/>
        </w:rPr>
        <w:t>' </w:t>
      </w:r>
      <w:r w:rsidRPr="00D44785">
        <w:rPr>
          <w:rStyle w:val="Emphasis"/>
          <w:rFonts w:ascii="Times New Roman" w:hAnsi="Times New Roman" w:cs="Times New Roman"/>
          <w:sz w:val="24"/>
          <w:szCs w:val="24"/>
          <w:shd w:val="clear" w:color="auto" w:fill="FFFFFF"/>
          <w:lang w:val="en-GB"/>
        </w:rPr>
        <w:t>Rights (</w:t>
      </w:r>
      <w:proofErr w:type="spellStart"/>
      <w:r w:rsidRPr="00D44785">
        <w:rPr>
          <w:rStyle w:val="Emphasis"/>
          <w:rFonts w:ascii="Times New Roman" w:hAnsi="Times New Roman" w:cs="Times New Roman"/>
          <w:sz w:val="24"/>
          <w:szCs w:val="24"/>
          <w:shd w:val="clear" w:color="auto" w:fill="FFFFFF"/>
          <w:lang w:val="en-GB"/>
        </w:rPr>
        <w:t>ACtHPR</w:t>
      </w:r>
      <w:proofErr w:type="spellEnd"/>
      <w:r w:rsidRPr="00D44785">
        <w:rPr>
          <w:rStyle w:val="Emphasis"/>
          <w:rFonts w:ascii="Times New Roman" w:hAnsi="Times New Roman" w:cs="Times New Roman"/>
          <w:sz w:val="24"/>
          <w:szCs w:val="24"/>
          <w:shd w:val="clear" w:color="auto" w:fill="FFFFFF"/>
          <w:lang w:val="en-GB"/>
        </w:rPr>
        <w:t>)</w:t>
      </w:r>
      <w:r w:rsidRPr="00D44785">
        <w:rPr>
          <w:rFonts w:ascii="Times New Roman" w:eastAsia="Times New Roman" w:hAnsi="Times New Roman" w:cs="Times New Roman"/>
          <w:i/>
          <w:iCs/>
          <w:sz w:val="24"/>
          <w:szCs w:val="24"/>
          <w:lang w:val="en-GB"/>
        </w:rPr>
        <w:t>;</w:t>
      </w:r>
      <w:r>
        <w:rPr>
          <w:rFonts w:ascii="Times New Roman" w:eastAsia="Times New Roman" w:hAnsi="Times New Roman" w:cs="Times New Roman"/>
          <w:sz w:val="24"/>
          <w:szCs w:val="24"/>
          <w:lang w:val="en-GB"/>
        </w:rPr>
        <w:t xml:space="preserve"> Caribbean Court of Justice</w:t>
      </w:r>
      <w:r>
        <w:rPr>
          <w:rFonts w:ascii="Times New Roman" w:eastAsia="Times New Roman" w:hAnsi="Times New Roman" w:cs="Times New Roman"/>
          <w:smallCaps/>
          <w:sz w:val="24"/>
          <w:szCs w:val="24"/>
          <w:lang w:val="en-GB"/>
        </w:rPr>
        <w:t xml:space="preserve"> (CCJ)</w:t>
      </w:r>
      <w:r>
        <w:rPr>
          <w:rFonts w:ascii="Times New Roman" w:hAnsi="Times New Roman" w:cs="Times New Roman"/>
          <w:sz w:val="24"/>
          <w:szCs w:val="24"/>
          <w:shd w:val="clear" w:color="auto" w:fill="FFFFFF"/>
          <w:lang w:val="en-GB"/>
        </w:rPr>
        <w:t>;</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Court</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3"/>
          <w:sz w:val="24"/>
          <w:szCs w:val="24"/>
          <w:lang w:val="en-US"/>
        </w:rPr>
        <w:t>Justice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3"/>
          <w:sz w:val="24"/>
          <w:szCs w:val="24"/>
          <w:lang w:val="en-US"/>
        </w:rPr>
        <w:t>European</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3"/>
          <w:sz w:val="24"/>
          <w:szCs w:val="24"/>
          <w:lang w:val="en-US"/>
        </w:rPr>
        <w:t xml:space="preserve">Union </w:t>
      </w:r>
      <w:r>
        <w:rPr>
          <w:rFonts w:ascii="Times New Roman" w:hAnsi="Times New Roman" w:cs="Times New Roman"/>
          <w:color w:val="616161"/>
          <w:sz w:val="24"/>
          <w:szCs w:val="24"/>
          <w:shd w:val="clear" w:color="auto" w:fill="FFFFFF"/>
          <w:lang w:val="en-GB"/>
        </w:rPr>
        <w:t>(CJEU)</w:t>
      </w:r>
      <w:r>
        <w:rPr>
          <w:rFonts w:ascii="Times New Roman" w:eastAsia="Times New Roman" w:hAnsi="Times New Roman" w:cs="Times New Roman"/>
          <w:spacing w:val="-3"/>
          <w:sz w:val="24"/>
          <w:szCs w:val="24"/>
          <w:lang w:val="en-US"/>
        </w:rPr>
        <w:t>;</w:t>
      </w:r>
      <w:r>
        <w:rPr>
          <w:rFonts w:ascii="Times New Roman" w:eastAsia="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 xml:space="preserve">ECOWAS Community Court of Justice </w:t>
      </w:r>
      <w:r>
        <w:rPr>
          <w:rFonts w:ascii="Times New Roman" w:hAnsi="Times New Roman"/>
          <w:color w:val="323E4F" w:themeColor="text2" w:themeShade="BF"/>
          <w:sz w:val="24"/>
          <w:szCs w:val="24"/>
          <w:shd w:val="clear" w:color="auto" w:fill="FFFFFF"/>
          <w:lang w:val="en-GB"/>
        </w:rPr>
        <w:t>(</w:t>
      </w:r>
      <w:r>
        <w:rPr>
          <w:rStyle w:val="Emphasis"/>
          <w:rFonts w:ascii="Times New Roman" w:hAnsi="Times New Roman"/>
          <w:color w:val="323E4F" w:themeColor="text2" w:themeShade="BF"/>
          <w:sz w:val="24"/>
          <w:szCs w:val="24"/>
          <w:shd w:val="clear" w:color="auto" w:fill="FFFFFF"/>
          <w:lang w:val="en-GB"/>
        </w:rPr>
        <w:t>ECCJ)</w:t>
      </w:r>
      <w:r>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European Free Trade Agreement Court </w:t>
      </w:r>
      <w:r>
        <w:rPr>
          <w:lang w:val="en-GB"/>
        </w:rPr>
        <w:t>(</w:t>
      </w:r>
      <w:r>
        <w:rPr>
          <w:rFonts w:ascii="Times New Roman" w:hAnsi="Times New Roman" w:cs="Times New Roman"/>
          <w:sz w:val="24"/>
          <w:szCs w:val="24"/>
          <w:lang w:val="en-GB"/>
        </w:rPr>
        <w:t>EFTA COURT)</w:t>
      </w:r>
      <w:r>
        <w:rPr>
          <w:rFonts w:ascii="Times New Roman" w:eastAsia="Times New Roman" w:hAnsi="Times New Roman" w:cs="Times New Roman"/>
          <w:sz w:val="24"/>
          <w:szCs w:val="24"/>
          <w:lang w:val="en-GB"/>
        </w:rPr>
        <w:t>;</w:t>
      </w:r>
      <w:r>
        <w:rPr>
          <w:rFonts w:ascii="Times New Roman" w:hAnsi="Times New Roman" w:cs="Times New Roman"/>
          <w:sz w:val="24"/>
          <w:szCs w:val="24"/>
          <w:shd w:val="clear" w:color="auto" w:fill="FFFFFF"/>
          <w:lang w:val="en-GB"/>
        </w:rPr>
        <w:t xml:space="preserve"> </w:t>
      </w:r>
      <w:proofErr w:type="spellStart"/>
      <w:r>
        <w:rPr>
          <w:rFonts w:ascii="Times New Roman" w:hAnsi="Times New Roman" w:cs="Times New Roman"/>
          <w:sz w:val="24"/>
          <w:szCs w:val="24"/>
          <w:shd w:val="clear" w:color="auto" w:fill="FFFFFF"/>
          <w:lang w:val="en-GB"/>
        </w:rPr>
        <w:t>EuroAsian</w:t>
      </w:r>
      <w:proofErr w:type="spellEnd"/>
      <w:r>
        <w:rPr>
          <w:rFonts w:ascii="Times New Roman" w:hAnsi="Times New Roman" w:cs="Times New Roman"/>
          <w:sz w:val="24"/>
          <w:szCs w:val="24"/>
          <w:shd w:val="clear" w:color="auto" w:fill="FFFFFF"/>
          <w:lang w:val="en-GB"/>
        </w:rPr>
        <w:t xml:space="preserve"> Economic Union Court </w:t>
      </w:r>
      <w:r>
        <w:rPr>
          <w:rFonts w:ascii="Times New Roman" w:hAnsi="Times New Roman"/>
          <w:color w:val="333F50"/>
          <w:sz w:val="24"/>
          <w:szCs w:val="24"/>
          <w:shd w:val="clear" w:color="auto" w:fill="FFFFFF"/>
          <w:lang w:val="en-GB"/>
        </w:rPr>
        <w:t>(EAEU COURT)</w:t>
      </w:r>
      <w:r>
        <w:rPr>
          <w:rFonts w:ascii="Times New Roman" w:hAnsi="Times New Roman" w:cs="Times New Roman"/>
          <w:sz w:val="24"/>
          <w:szCs w:val="24"/>
          <w:shd w:val="clear" w:color="auto" w:fill="FFFFFF"/>
          <w:lang w:val="en-GB"/>
        </w:rPr>
        <w: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pacing w:val="-3"/>
          <w:sz w:val="24"/>
          <w:szCs w:val="24"/>
          <w:lang w:val="en-US"/>
        </w:rPr>
        <w:t xml:space="preserve">European </w:t>
      </w:r>
      <w:r>
        <w:rPr>
          <w:rFonts w:ascii="Times New Roman" w:eastAsia="Times New Roman" w:hAnsi="Times New Roman" w:cs="Times New Roman"/>
          <w:sz w:val="24"/>
          <w:szCs w:val="24"/>
          <w:lang w:val="en-US"/>
        </w:rPr>
        <w:t xml:space="preserve">Court of </w:t>
      </w:r>
      <w:r>
        <w:rPr>
          <w:rFonts w:ascii="Times New Roman" w:eastAsia="Times New Roman" w:hAnsi="Times New Roman" w:cs="Times New Roman"/>
          <w:spacing w:val="-3"/>
          <w:sz w:val="24"/>
          <w:szCs w:val="24"/>
          <w:lang w:val="en-US"/>
        </w:rPr>
        <w:t xml:space="preserve">Human </w:t>
      </w:r>
      <w:r>
        <w:rPr>
          <w:rFonts w:ascii="Times New Roman" w:eastAsia="Times New Roman" w:hAnsi="Times New Roman" w:cs="Times New Roman"/>
          <w:sz w:val="24"/>
          <w:szCs w:val="24"/>
          <w:lang w:val="en-US"/>
        </w:rPr>
        <w:t xml:space="preserve">Rights </w:t>
      </w:r>
      <w:r>
        <w:rPr>
          <w:rFonts w:ascii="Times New Roman" w:eastAsia="Times New Roman" w:hAnsi="Times New Roman" w:cs="Times New Roman"/>
          <w:sz w:val="24"/>
          <w:szCs w:val="24"/>
          <w:lang w:val="en-GB"/>
        </w:rPr>
        <w:t xml:space="preserve">(ECtHR); </w:t>
      </w:r>
      <w:r>
        <w:rPr>
          <w:rFonts w:ascii="Times New Roman" w:eastAsia="Times New Roman" w:hAnsi="Times New Roman" w:cs="Times New Roman"/>
          <w:spacing w:val="-3"/>
          <w:sz w:val="24"/>
          <w:szCs w:val="24"/>
          <w:lang w:val="en-US"/>
        </w:rPr>
        <w:t xml:space="preserve">Inter-American </w:t>
      </w:r>
      <w:r>
        <w:rPr>
          <w:rFonts w:ascii="Times New Roman" w:eastAsia="Times New Roman" w:hAnsi="Times New Roman" w:cs="Times New Roman"/>
          <w:sz w:val="24"/>
          <w:szCs w:val="24"/>
          <w:lang w:val="en-US"/>
        </w:rPr>
        <w:t xml:space="preserve">Court of </w:t>
      </w:r>
      <w:r>
        <w:rPr>
          <w:rFonts w:ascii="Times New Roman" w:eastAsia="Times New Roman" w:hAnsi="Times New Roman" w:cs="Times New Roman"/>
          <w:spacing w:val="-3"/>
          <w:sz w:val="24"/>
          <w:szCs w:val="24"/>
          <w:lang w:val="en-US"/>
        </w:rPr>
        <w:lastRenderedPageBreak/>
        <w:t xml:space="preserve">Human </w:t>
      </w:r>
      <w:r>
        <w:rPr>
          <w:rFonts w:ascii="Times New Roman" w:eastAsia="Times New Roman" w:hAnsi="Times New Roman" w:cs="Times New Roman"/>
          <w:sz w:val="24"/>
          <w:szCs w:val="24"/>
          <w:lang w:val="en-US"/>
        </w:rPr>
        <w:t>Rights</w:t>
      </w:r>
      <w:r>
        <w:rPr>
          <w:rFonts w:ascii="Times New Roman" w:eastAsia="Times New Roman" w:hAnsi="Times New Roman" w:cs="Times New Roman"/>
          <w:sz w:val="24"/>
          <w:szCs w:val="24"/>
          <w:lang w:val="en-GB"/>
        </w:rPr>
        <w:t xml:space="preserve">  (</w:t>
      </w:r>
      <w:proofErr w:type="spellStart"/>
      <w:r>
        <w:rPr>
          <w:rFonts w:ascii="Times New Roman" w:hAnsi="Times New Roman" w:cs="Times New Roman"/>
          <w:sz w:val="24"/>
          <w:szCs w:val="24"/>
          <w:shd w:val="clear" w:color="auto" w:fill="FFFFFF"/>
          <w:lang w:val="en-GB"/>
        </w:rPr>
        <w:t>IACtHR</w:t>
      </w:r>
      <w:proofErr w:type="spellEnd"/>
      <w:r>
        <w:rPr>
          <w:rFonts w:ascii="Times New Roman" w:hAnsi="Times New Roman" w:cs="Times New Roman"/>
          <w:sz w:val="24"/>
          <w:szCs w:val="24"/>
          <w:shd w:val="clear" w:color="auto" w:fill="FFFFFF"/>
          <w:lang w:val="en-GB"/>
        </w:rPr>
        <w:t>);</w:t>
      </w:r>
      <w:r>
        <w:rPr>
          <w:rFonts w:ascii="Times New Roman" w:eastAsia="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 xml:space="preserve">OSCE Court of Conciliation and Arbitration </w:t>
      </w:r>
      <w:r>
        <w:rPr>
          <w:rFonts w:ascii="Times New Roman" w:eastAsia="Times New Roman" w:hAnsi="Times New Roman" w:cs="Times New Roman"/>
          <w:sz w:val="24"/>
          <w:szCs w:val="24"/>
          <w:lang w:val="en-GB"/>
        </w:rPr>
        <w:t>(</w:t>
      </w:r>
      <w:r>
        <w:rPr>
          <w:rFonts w:ascii="Times New Roman" w:hAnsi="Times New Roman"/>
          <w:sz w:val="24"/>
          <w:szCs w:val="24"/>
          <w:shd w:val="clear" w:color="auto" w:fill="FFFFFF"/>
          <w:lang w:val="en-GB"/>
        </w:rPr>
        <w:t>CCA</w:t>
      </w:r>
      <w:r>
        <w:rPr>
          <w:rFonts w:ascii="Times New Roman" w:eastAsia="Times New Roman" w:hAnsi="Times New Roman" w:cs="Times New Roman"/>
          <w:sz w:val="24"/>
          <w:szCs w:val="24"/>
          <w:lang w:val="en-GB"/>
        </w:rPr>
        <w:t xml:space="preserve">); UN Human Rights Committee </w:t>
      </w:r>
      <w:r>
        <w:rPr>
          <w:rFonts w:ascii="Times New Roman" w:hAnsi="Times New Roman"/>
          <w:color w:val="222222"/>
          <w:sz w:val="24"/>
          <w:szCs w:val="24"/>
          <w:lang w:val="en-GB"/>
        </w:rPr>
        <w:t>(UNHRC)</w:t>
      </w:r>
      <w:r>
        <w:rPr>
          <w:rFonts w:ascii="Times New Roman" w:eastAsia="Times New Roman" w:hAnsi="Times New Roman" w:cs="Times New Roman"/>
          <w:sz w:val="24"/>
          <w:szCs w:val="24"/>
          <w:lang w:val="en-GB"/>
        </w:rPr>
        <w:t>;</w:t>
      </w:r>
      <w:r>
        <w:rPr>
          <w:rFonts w:ascii="Times New Roman" w:hAnsi="Times New Roman" w:cs="Times New Roman"/>
          <w:sz w:val="24"/>
          <w:szCs w:val="24"/>
          <w:lang w:val="en-US"/>
        </w:rPr>
        <w:t xml:space="preserve"> Hybrid Courts</w:t>
      </w:r>
      <w:r>
        <w:rPr>
          <w:rFonts w:ascii="Times New Roman" w:eastAsia="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International Residual Mechanism for Criminal Tribunals</w:t>
      </w:r>
      <w:r>
        <w:rPr>
          <w:rFonts w:ascii="Times New Roman" w:eastAsia="Times New Roman" w:hAnsi="Times New Roman" w:cs="Times New Roman"/>
          <w:sz w:val="24"/>
          <w:szCs w:val="24"/>
          <w:lang w:val="en-US"/>
        </w:rPr>
        <w:t xml:space="preserve"> </w:t>
      </w:r>
      <w:r>
        <w:rPr>
          <w:rFonts w:ascii="Times New Roman" w:hAnsi="Times New Roman"/>
          <w:color w:val="171C20"/>
          <w:sz w:val="24"/>
          <w:szCs w:val="24"/>
          <w:shd w:val="clear" w:color="auto" w:fill="FFFFFF"/>
          <w:lang w:val="en-GB"/>
        </w:rPr>
        <w:t>(IRMCT)</w:t>
      </w:r>
      <w:r>
        <w:rPr>
          <w:rFonts w:ascii="Times New Roman" w:eastAsia="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rPr>
        <w:t>International Arbitration and Dispute Resolution.</w:t>
      </w:r>
      <w:r>
        <w:rPr>
          <w:rFonts w:ascii="Times New Roman" w:hAnsi="Times New Roman" w:cs="Times New Roman"/>
          <w:sz w:val="24"/>
          <w:szCs w:val="24"/>
          <w:shd w:val="clear" w:color="auto" w:fill="FFFFFF"/>
          <w:lang w:val="en-GB"/>
        </w:rPr>
        <w:t xml:space="preserve"> </w:t>
      </w:r>
    </w:p>
    <w:p w14:paraId="411A15E0"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 xml:space="preserve">In this manner, the </w:t>
      </w:r>
      <w:r>
        <w:rPr>
          <w:rFonts w:ascii="Times New Roman" w:eastAsia="Times New Roman" w:hAnsi="Times New Roman" w:cs="Times New Roman"/>
          <w:i/>
          <w:sz w:val="24"/>
          <w:szCs w:val="24"/>
          <w:shd w:val="clear" w:color="auto" w:fill="FFFFFF"/>
          <w:lang w:val="en-GB"/>
        </w:rPr>
        <w:t>Yearbook</w:t>
      </w:r>
      <w:r>
        <w:rPr>
          <w:rFonts w:ascii="Times New Roman" w:eastAsia="Times New Roman" w:hAnsi="Times New Roman" w:cs="Times New Roman"/>
          <w:sz w:val="24"/>
          <w:szCs w:val="24"/>
          <w:lang w:val="en-US"/>
        </w:rPr>
        <w:t xml:space="preserve"> fills in the gaps left by other journals that provide partial coverage of international judicial decisions; and international law scholars can rely on it to better understand the wealth of case law emanating from international jurisdictions. The originality and utility of this </w:t>
      </w:r>
      <w:r>
        <w:rPr>
          <w:rFonts w:ascii="Times New Roman" w:eastAsia="Times New Roman" w:hAnsi="Times New Roman" w:cs="Times New Roman"/>
          <w:i/>
          <w:sz w:val="24"/>
          <w:szCs w:val="24"/>
          <w:lang w:val="en-US"/>
        </w:rPr>
        <w:t>Yearbook</w:t>
      </w:r>
      <w:r>
        <w:rPr>
          <w:rFonts w:ascii="Times New Roman" w:eastAsia="Times New Roman" w:hAnsi="Times New Roman" w:cs="Times New Roman"/>
          <w:sz w:val="24"/>
          <w:szCs w:val="24"/>
          <w:lang w:val="en-US"/>
        </w:rPr>
        <w:t xml:space="preserve"> lies precisely in its “intermediation” role between case law and international scholars, practitioners, and students.</w:t>
      </w:r>
    </w:p>
    <w:p w14:paraId="20C61CB3" w14:textId="77777777" w:rsidR="004E1666" w:rsidRDefault="004E1666" w:rsidP="004E1666">
      <w:pPr>
        <w:spacing w:after="0"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Finally, an updated overview of the current international law literature in the section entitled “Recent Lines of Internationalist Thought” provides readers with an opportunity to study and interpret global legal issues from different perspectives, examine different methodologies, and explore ideas from different </w:t>
      </w:r>
      <w:r>
        <w:rPr>
          <w:rFonts w:ascii="Times New Roman" w:hAnsi="Times New Roman" w:cs="Times New Roman"/>
          <w:sz w:val="24"/>
          <w:szCs w:val="24"/>
          <w:lang w:val="en-GB"/>
        </w:rPr>
        <w:t>legal, philosophical and cultural traditions</w:t>
      </w:r>
      <w:r>
        <w:rPr>
          <w:rFonts w:ascii="Times New Roman" w:eastAsia="Times New Roman" w:hAnsi="Times New Roman" w:cs="Times New Roman"/>
          <w:sz w:val="24"/>
          <w:szCs w:val="24"/>
          <w:lang w:val="en-US"/>
        </w:rPr>
        <w:t xml:space="preserve">. The 2017 edition introduced a change to this section. The novelty concerned the subject behind the original authorship—meaning that the Scholar/Judge who contributes thoughts and ideas is also talking about his </w:t>
      </w:r>
      <w:r>
        <w:rPr>
          <w:rFonts w:ascii="Times New Roman" w:eastAsia="Times New Roman" w:hAnsi="Times New Roman" w:cs="Times New Roman"/>
          <w:iCs/>
          <w:sz w:val="24"/>
          <w:szCs w:val="24"/>
          <w:lang w:val="en-US"/>
        </w:rPr>
        <w:t>own work.</w:t>
      </w:r>
    </w:p>
    <w:p w14:paraId="6B47CF33" w14:textId="77777777" w:rsidR="004E1666" w:rsidRDefault="004E1666" w:rsidP="004E1666">
      <w:pPr>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i/>
          <w:sz w:val="24"/>
          <w:szCs w:val="24"/>
          <w:shd w:val="clear" w:color="auto" w:fill="FFFFFF"/>
          <w:lang w:val="en-GB"/>
        </w:rPr>
        <w:t>Yearbook</w:t>
      </w:r>
      <w:r>
        <w:rPr>
          <w:rFonts w:ascii="Times New Roman" w:eastAsia="Times New Roman" w:hAnsi="Times New Roman" w:cs="Times New Roman"/>
          <w:sz w:val="24"/>
          <w:szCs w:val="24"/>
          <w:lang w:val="en-US"/>
        </w:rPr>
        <w:t xml:space="preserve"> is a one-stop resource for all researchers of </w:t>
      </w:r>
      <w:r>
        <w:rPr>
          <w:rFonts w:ascii="Times New Roman" w:eastAsia="Times New Roman" w:hAnsi="Times New Roman" w:cs="Times New Roman"/>
          <w:sz w:val="24"/>
          <w:szCs w:val="24"/>
          <w:lang w:val="en"/>
        </w:rPr>
        <w:t xml:space="preserve">international/global law, various related disciplines, and the jurisprudence of international courts and tribunals. </w:t>
      </w:r>
      <w:r>
        <w:rPr>
          <w:rFonts w:ascii="Times New Roman" w:eastAsia="Times New Roman" w:hAnsi="Times New Roman" w:cs="Times New Roman"/>
          <w:sz w:val="24"/>
          <w:szCs w:val="24"/>
          <w:lang w:val="en-US"/>
        </w:rPr>
        <w:t xml:space="preserve">It is aimed at </w:t>
      </w:r>
      <w:r>
        <w:rPr>
          <w:rFonts w:ascii="Times New Roman" w:eastAsia="Times New Roman" w:hAnsi="Times New Roman" w:cs="Times New Roman"/>
          <w:sz w:val="24"/>
          <w:szCs w:val="24"/>
          <w:lang w:val="en"/>
        </w:rPr>
        <w:t>academics, legal practitioners, and law students in the fields of international/global law, national law, legal philosophy and ethics, political science, and economics.</w:t>
      </w:r>
    </w:p>
    <w:p w14:paraId="3CE4BF01" w14:textId="77777777" w:rsidR="004E1666" w:rsidRPr="007858DF" w:rsidRDefault="004E1666" w:rsidP="004E1666">
      <w:pPr>
        <w:spacing w:after="0" w:line="240" w:lineRule="auto"/>
        <w:ind w:firstLine="720"/>
        <w:rPr>
          <w:rFonts w:ascii="Times New Roman" w:eastAsia="Times New Roman" w:hAnsi="Times New Roman" w:cs="Times New Roman"/>
          <w:i/>
          <w:iCs/>
          <w:sz w:val="24"/>
          <w:szCs w:val="24"/>
          <w:lang w:val="en"/>
        </w:rPr>
      </w:pP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 xml:space="preserve">          </w:t>
      </w:r>
      <w:r w:rsidRPr="007858DF">
        <w:rPr>
          <w:rFonts w:ascii="Times New Roman" w:eastAsia="Times New Roman" w:hAnsi="Times New Roman" w:cs="Times New Roman"/>
          <w:i/>
          <w:iCs/>
          <w:sz w:val="24"/>
          <w:szCs w:val="24"/>
          <w:lang w:val="en"/>
        </w:rPr>
        <w:t>Giuliana Ziccardi Capaldo</w:t>
      </w:r>
    </w:p>
    <w:p w14:paraId="2E805D5C" w14:textId="77777777" w:rsidR="004E1666" w:rsidRPr="007858DF" w:rsidRDefault="004E1666" w:rsidP="004E1666">
      <w:pPr>
        <w:spacing w:after="0" w:line="240" w:lineRule="auto"/>
        <w:ind w:firstLine="720"/>
        <w:rPr>
          <w:rFonts w:ascii="Times New Roman" w:eastAsia="Times New Roman" w:hAnsi="Times New Roman" w:cs="Times New Roman"/>
          <w:i/>
          <w:iCs/>
          <w:sz w:val="24"/>
          <w:szCs w:val="24"/>
          <w:lang w:val="en"/>
        </w:rPr>
      </w:pP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r>
      <w:r w:rsidRPr="007858DF">
        <w:rPr>
          <w:rFonts w:ascii="Times New Roman" w:eastAsia="Times New Roman" w:hAnsi="Times New Roman" w:cs="Times New Roman"/>
          <w:i/>
          <w:iCs/>
          <w:sz w:val="24"/>
          <w:szCs w:val="24"/>
          <w:lang w:val="en"/>
        </w:rPr>
        <w:tab/>
        <w:t>General Editor</w:t>
      </w:r>
    </w:p>
    <w:p w14:paraId="0D8A5DA7" w14:textId="0BE3FF44" w:rsidR="004E1666" w:rsidRDefault="004E1666" w:rsidP="004E1666">
      <w:pPr>
        <w:spacing w:after="0" w:line="240" w:lineRule="auto"/>
        <w:ind w:left="7068" w:firstLine="12"/>
      </w:pPr>
      <w:r w:rsidRPr="007858DF">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3</w:t>
      </w:r>
      <w:r w:rsidRPr="007858DF">
        <w:rPr>
          <w:rFonts w:ascii="Times New Roman" w:eastAsia="Times New Roman" w:hAnsi="Times New Roman" w:cs="Times New Roman"/>
          <w:sz w:val="24"/>
          <w:szCs w:val="24"/>
          <w:lang w:val="en"/>
        </w:rPr>
        <w:t>th December 2023</w:t>
      </w:r>
    </w:p>
    <w:p w14:paraId="7863A3A8" w14:textId="54065132" w:rsidR="004E1666" w:rsidRDefault="004E1666" w:rsidP="004E1666">
      <w:pPr>
        <w:spacing w:after="0" w:line="480" w:lineRule="auto"/>
        <w:ind w:firstLine="720"/>
      </w:pPr>
    </w:p>
    <w:sectPr w:rsidR="004E16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0BFE" w14:textId="77777777" w:rsidR="00860D5B" w:rsidRDefault="00860D5B" w:rsidP="004E1666">
      <w:pPr>
        <w:spacing w:after="0" w:line="240" w:lineRule="auto"/>
      </w:pPr>
      <w:r>
        <w:separator/>
      </w:r>
    </w:p>
  </w:endnote>
  <w:endnote w:type="continuationSeparator" w:id="0">
    <w:p w14:paraId="10BFB950" w14:textId="77777777" w:rsidR="00860D5B" w:rsidRDefault="00860D5B" w:rsidP="004E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72D4" w14:textId="77777777" w:rsidR="00860D5B" w:rsidRDefault="00860D5B" w:rsidP="004E1666">
      <w:pPr>
        <w:spacing w:after="0" w:line="240" w:lineRule="auto"/>
      </w:pPr>
      <w:r>
        <w:separator/>
      </w:r>
    </w:p>
  </w:footnote>
  <w:footnote w:type="continuationSeparator" w:id="0">
    <w:p w14:paraId="2D08C21F" w14:textId="77777777" w:rsidR="00860D5B" w:rsidRDefault="00860D5B" w:rsidP="004E1666">
      <w:pPr>
        <w:spacing w:after="0" w:line="240" w:lineRule="auto"/>
      </w:pPr>
      <w:r>
        <w:continuationSeparator/>
      </w:r>
    </w:p>
  </w:footnote>
  <w:footnote w:id="1">
    <w:p w14:paraId="45419971" w14:textId="77777777" w:rsidR="004E1666" w:rsidRDefault="004E1666" w:rsidP="004E1666">
      <w:pPr>
        <w:pStyle w:val="FootnoteText"/>
      </w:pPr>
      <w:r>
        <w:rPr>
          <w:rStyle w:val="FootnoteReference"/>
        </w:rPr>
        <w:footnoteRef/>
      </w:r>
      <w:r>
        <w:t xml:space="preserve"> Editorial GCYILJ 2001</w:t>
      </w:r>
      <w:r>
        <w:rPr>
          <w:rFonts w:ascii="Roboto" w:hAnsi="Roboto"/>
          <w:color w:val="212121"/>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62"/>
    <w:rsid w:val="000D3C11"/>
    <w:rsid w:val="004E1666"/>
    <w:rsid w:val="00860D5B"/>
    <w:rsid w:val="00B2358B"/>
    <w:rsid w:val="00FD3D62"/>
    <w:rsid w:val="00FF5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B0C6"/>
  <w15:chartTrackingRefBased/>
  <w15:docId w15:val="{1973D9E8-6276-4DF1-B55E-5160D6B8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66"/>
    <w:pPr>
      <w:spacing w:after="200" w:line="276" w:lineRule="auto"/>
    </w:pPr>
    <w:rPr>
      <w:rFonts w:eastAsiaTheme="minorEastAsia"/>
      <w:kern w:val="0"/>
      <w:lang w:eastAsia="it-IT"/>
      <w14:ligatures w14:val="none"/>
    </w:rPr>
  </w:style>
  <w:style w:type="paragraph" w:styleId="Heading2">
    <w:name w:val="heading 2"/>
    <w:basedOn w:val="Normal"/>
    <w:link w:val="Heading2Char"/>
    <w:uiPriority w:val="1"/>
    <w:qFormat/>
    <w:rsid w:val="004E1666"/>
    <w:pPr>
      <w:widowControl w:val="0"/>
      <w:spacing w:after="0" w:line="240" w:lineRule="auto"/>
      <w:ind w:left="2006"/>
      <w:outlineLvl w:val="1"/>
    </w:pPr>
    <w:rPr>
      <w:rFonts w:ascii="Times New Roman" w:eastAsia="Times New Roman" w:hAnsi="Times New Roman" w:cs="Times New Roman"/>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E1666"/>
    <w:rPr>
      <w:rFonts w:ascii="Times New Roman" w:eastAsia="Times New Roman" w:hAnsi="Times New Roman" w:cs="Times New Roman"/>
      <w:b/>
      <w:bCs/>
      <w:i/>
      <w:kern w:val="0"/>
      <w:sz w:val="20"/>
      <w:szCs w:val="20"/>
      <w:lang w:val="en-US" w:eastAsia="it-IT"/>
      <w14:ligatures w14:val="none"/>
    </w:rPr>
  </w:style>
  <w:style w:type="character" w:styleId="Emphasis">
    <w:name w:val="Emphasis"/>
    <w:basedOn w:val="DefaultParagraphFont"/>
    <w:uiPriority w:val="20"/>
    <w:qFormat/>
    <w:rsid w:val="004E1666"/>
    <w:rPr>
      <w:i/>
      <w:iCs/>
    </w:rPr>
  </w:style>
  <w:style w:type="character" w:styleId="FootnoteReference">
    <w:name w:val="footnote reference"/>
    <w:aliases w:val="RSC_WP (footnote reference),Ref,de nota al pie,JFR-Fußnotenzeichen,*Footnote Reference,16 Point,Superscript 6 Point,footnote reference,SUPERS,Footnote reference number,Footnote symbol,note TESI,-E Fußnotenzeichen,number,BVI fnr,fr,FR"/>
    <w:basedOn w:val="DefaultParagraphFont"/>
    <w:link w:val="ZFootnoteText"/>
    <w:unhideWhenUsed/>
    <w:qFormat/>
    <w:rsid w:val="004E1666"/>
    <w:rPr>
      <w:vertAlign w:val="superscript"/>
    </w:rPr>
  </w:style>
  <w:style w:type="paragraph" w:customStyle="1" w:styleId="ZFootnoteText">
    <w:name w:val="Z_Footnote Text"/>
    <w:aliases w:val="de nota al pi...,SUPERS Carattere Carattere,BVI f, Char, Char1,Char,Char1"/>
    <w:basedOn w:val="Normal"/>
    <w:link w:val="FootnoteReference"/>
    <w:rsid w:val="004E1666"/>
    <w:pPr>
      <w:spacing w:after="160" w:line="240" w:lineRule="exact"/>
    </w:pPr>
    <w:rPr>
      <w:rFonts w:eastAsiaTheme="minorHAnsi"/>
      <w:kern w:val="2"/>
      <w:vertAlign w:val="superscript"/>
      <w:lang w:eastAsia="en-US"/>
      <w14:ligatures w14:val="standardContextual"/>
    </w:rPr>
  </w:style>
  <w:style w:type="paragraph" w:styleId="FootnoteText">
    <w:name w:val="footnote text"/>
    <w:basedOn w:val="Normal"/>
    <w:link w:val="FootnoteTextChar"/>
    <w:uiPriority w:val="99"/>
    <w:semiHidden/>
    <w:unhideWhenUsed/>
    <w:rsid w:val="004E1666"/>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4E1666"/>
    <w:rPr>
      <w:rFonts w:ascii="Times New Roman" w:eastAsia="Times New Roman" w:hAnsi="Times New Roman" w:cs="Times New Roman"/>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2024-09-19T09:36:00Z</dcterms:created>
  <dcterms:modified xsi:type="dcterms:W3CDTF">2024-09-19T09:36:00Z</dcterms:modified>
</cp:coreProperties>
</file>